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FF" w:rsidRDefault="00301FFF" w:rsidP="00301FFF">
      <w:pPr>
        <w:pStyle w:val="a5"/>
        <w:widowControl/>
        <w:shd w:val="clear" w:color="auto" w:fill="FFFFFF"/>
        <w:autoSpaceDE w:val="0"/>
        <w:spacing w:before="0" w:beforeAutospacing="0" w:after="0" w:afterAutospacing="0" w:line="600" w:lineRule="exact"/>
        <w:jc w:val="both"/>
        <w:textAlignment w:val="top"/>
        <w:rPr>
          <w:rFonts w:ascii="楷体_GB2312" w:eastAsia="楷体_GB231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  件</w:t>
      </w:r>
    </w:p>
    <w:p w:rsidR="00301FFF" w:rsidRDefault="00301FFF" w:rsidP="00301FFF">
      <w:pPr>
        <w:spacing w:beforeLines="50" w:before="156" w:afterLines="100" w:after="312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干扰素省际联盟集中带量采购报量药品清单</w:t>
      </w:r>
    </w:p>
    <w:tbl>
      <w:tblPr>
        <w:tblW w:w="4955" w:type="pct"/>
        <w:tblLook w:val="04A0" w:firstRow="1" w:lastRow="0" w:firstColumn="1" w:lastColumn="0" w:noHBand="0" w:noVBand="1"/>
      </w:tblPr>
      <w:tblGrid>
        <w:gridCol w:w="633"/>
        <w:gridCol w:w="3102"/>
        <w:gridCol w:w="1537"/>
        <w:gridCol w:w="3256"/>
        <w:gridCol w:w="746"/>
        <w:gridCol w:w="625"/>
        <w:gridCol w:w="3923"/>
      </w:tblGrid>
      <w:tr w:rsidR="00301FFF" w:rsidTr="009C0333">
        <w:trPr>
          <w:trHeight w:val="425"/>
          <w:tblHeader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2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2"/>
              </w:rPr>
              <w:t>目录序号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2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2"/>
              </w:rPr>
              <w:t>药品名称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2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2"/>
              </w:rPr>
              <w:t>剂型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2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2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2"/>
              </w:rPr>
              <w:t>包装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2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2"/>
              </w:rPr>
              <w:t>包装单位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2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2"/>
              </w:rPr>
              <w:t>投标企业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聚乙二醇干扰素α-2b注射液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90μg(33万U):0.5ml(预充式)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预充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厦门特宝生物工程股份有限公司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聚乙二醇干扰素α-2b注射液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135μg(50万U):0.5ml(预充式)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预充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厦门特宝生物工程股份有限公司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聚乙二醇干扰素α-2b注射液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180μg(66万U):0.5ml(预充式)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预充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厦门特宝生物工程股份有限公司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人干扰素α1b注射液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40μg:1ml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北京三元基因药业股份有限公司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人干扰素α1b注射液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10μg:0.5ml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北京三元基因药业股份有限公司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人干扰素α1b注射液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20μg:0.5ml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北京三元基因药业股份有限公司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人干扰素α1b注射液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10μg:1ml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北京三元基因药业股份有限公司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人干扰素α1b注射液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30μg:1ml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北京三元基因药业股份有限公司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人干扰素α1b注射液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50μg:1ml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北京三元基因药业股份有限公司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人干扰素α1b注射液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6μg:0.5ml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北京三元基因药业股份有限公司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注射用人干扰素α1b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10μg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北京三元基因药业股份有限公司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注射用人干扰素α1b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30μg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北京三元基因药业股份有限公司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注射用人干扰素α1b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50μg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北京三元基因药业股份有限公司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注射用人干扰素α1b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10μg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深圳科兴药业有限公司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注射用人干扰素α1b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20μg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深圳科兴药业有限公司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注射用人干扰素α1b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30μg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深圳科兴药业有限公司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注射用人干扰素α1b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50μg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深圳科兴药业有限公司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注射用人干扰素α1b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60μg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深圳科兴药业有限公司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注射用人干扰素α1b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40μg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深圳科兴药业有限公司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人干扰素α2a注射液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500万IU:1.0ml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沈阳三生制药有限责任公司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人干扰素α2a注射液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100万IU:1.0ml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沈阳三生制药有限责任公司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人干扰素α2a注射液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300万IU:1.0ml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沈阳三生制药有限责任公司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海南欣明达生物制药有限公司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海南欣明达生物制药有限公司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海南欣明达生物制药有限公司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辽宁卫星生物制品研究所(有限公司)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辽宁卫星生物制品研究所(有限公司)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辽宁卫星生物制品研究所(有限公司)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沈阳三生制药有限责任公司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沈阳三生制药有限责任公司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沈阳三生制药有限责任公司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长春生物制品研究所有限责任公司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注射用重组人干扰素α2a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长春生物制品研究所有限责任公司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注射用重组人干扰素α2a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长春生物制品研究所有限责任公司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500万IU(预充式)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预充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600万IU(预充式)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预充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300万IU(预充式)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预充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0.3ml:300万IU(预充式注射器)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预充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北京凯因科技股份有限公司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0.5ml:500万IU(预充式注射器)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预充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北京凯因科技股份有限公司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0.6ml:600万IU(预充式注射器)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预充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北京凯因科技股份有限公司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1ml:100万IU(预充式注射器)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预充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北京凯因科技股份有限公司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100万IU/瓶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上海华新生物高技术有限公司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1ml:100万国际单位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天津未名生物医药有限公司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1ml:300万国际单位（预充式）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预充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天津未名生物医药有限公司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1ml:500万国际单位（预充式）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预充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天津未名生物医药有限公司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1.0ml:1000万IU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长春海伯尔生物技术有限责任公司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0.5ml:500万IU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长春海伯尔生物技术有限责任公司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0.3ml:300万IU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长春海伯尔生物技术有限责任公司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人干扰素α2b注射液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0.6ml:600万IU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长春海伯尔生物技术有限责任公司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北京凯因科技股份有限公司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冻干粉针剂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1ml:100万IU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北京远策药业有限责任公司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冻干粉针剂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1ml:500万IU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北京远策药业有限责任公司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冻干粉针剂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北京远策药业有限责任公司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冻干粉针剂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哈药集团生物工程有限公司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冻干粉针剂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哈药集团生物工程有限公司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冻干粉针剂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哈药集团生物工程有限公司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冻干粉针剂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哈药集团生物工程有限公司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冻干粉针剂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海南通用同盟药业有限公司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300万国际单位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天津未名生物医药有限公司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500万国际单位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天津未名生物医药有限公司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100万国际单位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天津未名生物医药有限公司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长春生物制品研究所有限责任公司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粉针剂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长春生物制品研究所有限责任公司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长春生物制品研究所有限责任公司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浙江北生药业汉生制药有限公司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浙江北生药业汉生制药有限公司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注射用人干扰素α2b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注射剂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浙江北生药业汉生制药有限公司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人干扰素α2b阴道泡腾片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阴道泡腾片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片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北京凯因科技股份有限公司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人干扰素α2b阴道泡腾胶囊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阴道泡腾胶囊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粒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上海华新生物高技术有限公司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人干扰素α2a软膏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软膏剂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长春生物制品研究所有限责任公司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人干扰素α2b乳膏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乳膏剂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人干扰素α2b乳膏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乳膏剂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人干扰素α2b乳膏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乳膏剂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人干扰素α2b软膏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软膏剂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25万IU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哈药集团生物工程有限公司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人干扰素α2b软膏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软膏剂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哈药集团生物工程有限公司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人干扰素α2a栓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栓剂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粒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武汉维奥制药有限公司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人干扰素α2a栓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栓剂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粒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长春生物制品研究所有限责任公司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人干扰素α2b栓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阴道栓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粒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人干扰素α2b栓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阴道栓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粒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长春生物制品研究所有限责任公司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人干扰素α2b凝胶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凝胶剂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兆科药业(合肥)有限公司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人干扰素α2b凝胶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凝胶剂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兆科药业(合肥)有限公司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人干扰素α1b喷雾剂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喷雾剂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25万IU(25μg)/5ml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北京三元基因药业股份有限公司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人干扰素α2b喷雾剂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喷雾剂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20ml:200万IU(240喷)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天津未名生物医药有限公司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人干扰素α2b喷雾剂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喷雾剂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10ml:100万IU(120喷)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天津未名生物医药有限公司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人干扰素α1b滴眼液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滴眼剂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20万IU:2ml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北京三元基因药业股份有限公司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人干扰素α1b滴眼液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滴眼剂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20万IU:2ml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长春生物制品研究所有限责任公司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人干扰素α2b滴眼液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滴眼剂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200万IU:10ml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  <w:tr w:rsidR="00301FFF" w:rsidTr="009C0333">
        <w:trPr>
          <w:trHeight w:val="4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人干扰素α2b滴眼液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滴眼剂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100万IU:5ml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FF" w:rsidRDefault="00301FFF" w:rsidP="009C033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安徽安科生物工程（集团）股份有限公司</w:t>
            </w:r>
          </w:p>
        </w:tc>
      </w:tr>
    </w:tbl>
    <w:p w:rsidR="00301FFF" w:rsidRDefault="00301FFF" w:rsidP="00301FFF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01FFF" w:rsidRDefault="00301FFF" w:rsidP="00301FFF"/>
    <w:p w:rsidR="00C26B82" w:rsidRPr="00301FFF" w:rsidRDefault="00C26B82">
      <w:bookmarkStart w:id="0" w:name="_GoBack"/>
      <w:bookmarkEnd w:id="0"/>
    </w:p>
    <w:sectPr w:rsidR="00C26B82" w:rsidRPr="00301F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F2" w:rsidRDefault="00A908F2" w:rsidP="00301FFF">
      <w:r>
        <w:separator/>
      </w:r>
    </w:p>
  </w:endnote>
  <w:endnote w:type="continuationSeparator" w:id="0">
    <w:p w:rsidR="00A908F2" w:rsidRDefault="00A908F2" w:rsidP="0030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F2" w:rsidRDefault="00A908F2" w:rsidP="00301FFF">
      <w:r>
        <w:separator/>
      </w:r>
    </w:p>
  </w:footnote>
  <w:footnote w:type="continuationSeparator" w:id="0">
    <w:p w:rsidR="00A908F2" w:rsidRDefault="00A908F2" w:rsidP="0030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2F"/>
    <w:rsid w:val="0026677F"/>
    <w:rsid w:val="00301FFF"/>
    <w:rsid w:val="00850A2F"/>
    <w:rsid w:val="00A908F2"/>
    <w:rsid w:val="00C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505533-4750-4F1C-B6AA-490B9A3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301FF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1F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F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FFF"/>
    <w:rPr>
      <w:sz w:val="18"/>
      <w:szCs w:val="18"/>
    </w:rPr>
  </w:style>
  <w:style w:type="paragraph" w:styleId="a5">
    <w:name w:val="Normal (Web)"/>
    <w:basedOn w:val="a"/>
    <w:unhideWhenUsed/>
    <w:qFormat/>
    <w:rsid w:val="00301FF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301FF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661</Words>
  <Characters>3769</Characters>
  <Application>Microsoft Office Word</Application>
  <DocSecurity>0</DocSecurity>
  <Lines>31</Lines>
  <Paragraphs>8</Paragraphs>
  <ScaleCrop>false</ScaleCrop>
  <Company>P R C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2023-09-26T09:17:00Z</dcterms:created>
  <dcterms:modified xsi:type="dcterms:W3CDTF">2023-09-26T09:17:00Z</dcterms:modified>
</cp:coreProperties>
</file>